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C93D72"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B2129">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F7F24" w:rsidRPr="000F7F24">
        <w:t>Clinical Procedures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F7F24" w:rsidRPr="000F7F24">
        <w:t>MAST 2132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F7F24" w:rsidRPr="000F7F24">
        <w:t>MAST 2130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0F7F24">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0F7F24">
        <w:t>6</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0F7F24">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C93D72">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C93D72">
        <w:t>90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C93D72">
        <w:t>105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F7F24" w:rsidRPr="000F7F24">
        <w:t>51.0801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F7F24" w:rsidRPr="000F7F24">
        <w:t>Reinforces skills obtained in Clinical Procedures I (MAST 1221). The course focuses on acquiring and documenting patient/client assessment data to assist with the basic physical examination, special medical exams and procedures, minor surgical procedures, and the administration of selected medications.</w:t>
      </w:r>
      <w:r>
        <w:fldChar w:fldCharType="end"/>
      </w:r>
      <w:bookmarkEnd w:id="12"/>
    </w:p>
    <w:p w:rsidR="00860938" w:rsidRDefault="00860938" w:rsidP="007E4F12"/>
    <w:p w:rsidR="00860938" w:rsidRPr="000E047A" w:rsidRDefault="00860938" w:rsidP="00C93D72">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F7F24" w:rsidRPr="000F7F24">
        <w:t>MAST 1171, MAST 1152, MAST 1221, MAST 1142, and MAST 1162 with a grade of "C" or better, and permission of Department Chair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F7F24" w:rsidRPr="000F7F24">
        <w:t>MAST 1214, MAST 2222 and permission of Department Chair</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F7F24" w:rsidRPr="000F7F24">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41902" w:rsidRPr="00E41902">
        <w:t>Demonstrate ability to collect patient/client assessment data.</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41902" w:rsidRPr="00E41902">
        <w:t>Execute appropriate medical procedures.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41902" w:rsidRPr="00E41902">
        <w:t>Administer selected medications.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DD4ECB" w:rsidRPr="00DD4ECB">
        <w:t>Assessment measures may include, but are not limited to homework, quizzes, skills evaluation (“check-offs”), and examinations.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B5A7A" w:rsidRPr="00C93D72" w:rsidRDefault="00594256"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fldChar w:fldCharType="begin">
          <w:ffData>
            <w:name w:val="Text1"/>
            <w:enabled/>
            <w:calcOnExit w:val="0"/>
            <w:textInput/>
          </w:ffData>
        </w:fldChar>
      </w:r>
      <w:bookmarkStart w:id="20" w:name="Text1"/>
      <w:r w:rsidRPr="00C93D72">
        <w:rPr>
          <w:rFonts w:ascii="Times New Roman" w:hAnsi="Times New Roman" w:cs="Times New Roman"/>
        </w:rPr>
        <w:instrText xml:space="preserve"> FORMTEXT </w:instrText>
      </w:r>
      <w:r w:rsidRPr="00C93D72">
        <w:rPr>
          <w:rFonts w:ascii="Times New Roman" w:hAnsi="Times New Roman" w:cs="Times New Roman"/>
        </w:rPr>
      </w:r>
      <w:r w:rsidRPr="00C93D72">
        <w:rPr>
          <w:rFonts w:ascii="Times New Roman" w:hAnsi="Times New Roman" w:cs="Times New Roman"/>
        </w:rPr>
        <w:fldChar w:fldCharType="separate"/>
      </w:r>
      <w:r w:rsidR="002B5A7A" w:rsidRPr="00C93D72">
        <w:rPr>
          <w:rFonts w:ascii="Times New Roman" w:hAnsi="Times New Roman" w:cs="Times New Roman"/>
        </w:rPr>
        <w:t>Teaching methods and strategies for patient education for a variety of procedures</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Mechanisms of adult learning</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Teaching plans for patient education for a variety of procedures</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The USDA Food and Nutrition Information Center and Food Categories</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Therapeutic diets and food-drug interactions</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Teaching plans for patient education for a variety of therapeutic diets</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Patient care procedures</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Assisting the physician with physical examinations</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The patient history form and procedures for obtaining patient history data</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The Subjective, Objective, Assessment, Plan (SOAP) charting method and the chronological method</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The four C’s of charting</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Preparing the patient for a physical examination</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Patient positions and draping</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Examination methods and equipment used by physicians for a physical examination</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Laboratory and diagnostic tests of a complete physical examination</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Preparing the examination room for the complete physical examination</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Legal and ethical issues of the physical examination and considerations for patient education</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Administrative and patient/clinical procedures in the classroom/lab setting</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Correlating the Health Care Financing Administration HCFA-1500 standard insurance form, International Classification of Diseases (ICD) diagnostic codes and the Current Procedural Terminology (CPT) code to patient procedures</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Preparing the examination room for a complete physical examination</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lastRenderedPageBreak/>
        <w:t>Preparing the patient for a complete physical examination</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Assisting the physician during a physical examination</w:t>
      </w:r>
    </w:p>
    <w:p w:rsidR="002B5A7A" w:rsidRPr="00C93D72" w:rsidRDefault="002B5A7A" w:rsidP="00C93D72">
      <w:pPr>
        <w:pStyle w:val="ListParagraph"/>
        <w:numPr>
          <w:ilvl w:val="0"/>
          <w:numId w:val="34"/>
        </w:numPr>
        <w:ind w:left="1440"/>
        <w:rPr>
          <w:rFonts w:ascii="Times New Roman" w:hAnsi="Times New Roman" w:cs="Times New Roman"/>
        </w:rPr>
      </w:pPr>
      <w:r w:rsidRPr="00C93D72">
        <w:rPr>
          <w:rFonts w:ascii="Times New Roman" w:hAnsi="Times New Roman" w:cs="Times New Roman"/>
        </w:rPr>
        <w:t>Post-examination patient assistance:  discharge instruction and/or other patient education instructions, as directed by physician</w:t>
      </w:r>
    </w:p>
    <w:p w:rsidR="00594256" w:rsidRDefault="002B5A7A" w:rsidP="00C93D72">
      <w:pPr>
        <w:pStyle w:val="ListParagraph"/>
        <w:numPr>
          <w:ilvl w:val="0"/>
          <w:numId w:val="34"/>
        </w:numPr>
        <w:ind w:left="1440"/>
      </w:pPr>
      <w:r w:rsidRPr="00C93D72">
        <w:rPr>
          <w:rFonts w:ascii="Times New Roman" w:hAnsi="Times New Roman" w:cs="Times New Roman"/>
        </w:rPr>
        <w:t>Documenting the patient office visit using the SOAP and chronological methods of charting</w:t>
      </w:r>
      <w:r w:rsidR="00594256" w:rsidRPr="00C93D72">
        <w:rPr>
          <w:rFonts w:ascii="Times New Roman" w:hAnsi="Times New Roman" w:cs="Times New Roman"/>
        </w:rPr>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12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E5D35"/>
    <w:multiLevelType w:val="hybridMultilevel"/>
    <w:tmpl w:val="07D034F6"/>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4"/>
  </w:num>
  <w:num w:numId="4">
    <w:abstractNumId w:val="31"/>
  </w:num>
  <w:num w:numId="5">
    <w:abstractNumId w:val="20"/>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5"/>
  </w:num>
  <w:num w:numId="18">
    <w:abstractNumId w:val="22"/>
  </w:num>
  <w:num w:numId="19">
    <w:abstractNumId w:val="18"/>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7"/>
  </w:num>
  <w:num w:numId="31">
    <w:abstractNumId w:val="8"/>
  </w:num>
  <w:num w:numId="32">
    <w:abstractNumId w:val="4"/>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R7ow+LKT7Bx39gFq/ukRp4x9zMd+4NeJGflSbnSOnlk/UxUZ3vYxvQ21xzBnHYTDZS0l0LW97+geor6YU3uIw==" w:salt="HW8j1Kc7i7w0zPoA9V4XU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7F24"/>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A7A"/>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3043"/>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2129"/>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3D72"/>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D4EC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902"/>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49C9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2958A7D-CD3A-495E-B16B-B29B7FD9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752</Words>
  <Characters>4649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2020-07-31T15:43:00Z</dcterms:created>
  <dcterms:modified xsi:type="dcterms:W3CDTF">2020-08-28T22:02:00Z</dcterms:modified>
</cp:coreProperties>
</file>